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Summary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0" w:lineRule="auto"/>
        <w:ind w:left="200" w:right="266"/>
      </w:pPr>
      <w:r>
        <w:rPr/>
        <w:t>In this domain of the REMAP-CAP trial, participants meeting the platform entry criteria with suspected or microbiological testing-confirmed COVID-19 infection will be randomized to one of up to three interventions: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125" w:after="0"/>
        <w:ind w:left="920" w:right="0" w:hanging="360"/>
        <w:jc w:val="left"/>
        <w:rPr>
          <w:sz w:val="22"/>
        </w:rPr>
      </w:pPr>
      <w:r>
        <w:rPr>
          <w:sz w:val="22"/>
        </w:rPr>
        <w:t>Conventional low dose</w:t>
      </w:r>
      <w:r>
        <w:rPr>
          <w:spacing w:val="-2"/>
          <w:sz w:val="22"/>
        </w:rPr>
        <w:t> </w:t>
      </w:r>
      <w:r>
        <w:rPr>
          <w:sz w:val="22"/>
        </w:rPr>
        <w:t>thromboprophylaxis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135" w:after="0"/>
        <w:ind w:left="920" w:right="0" w:hanging="360"/>
        <w:jc w:val="left"/>
        <w:rPr>
          <w:sz w:val="22"/>
        </w:rPr>
      </w:pPr>
      <w:r>
        <w:rPr>
          <w:sz w:val="22"/>
        </w:rPr>
        <w:t>Intermediate dose</w:t>
      </w:r>
      <w:r>
        <w:rPr>
          <w:spacing w:val="-2"/>
          <w:sz w:val="22"/>
        </w:rPr>
        <w:t> </w:t>
      </w:r>
      <w:r>
        <w:rPr>
          <w:sz w:val="22"/>
        </w:rPr>
        <w:t>thromboprophylaxis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355" w:lineRule="auto" w:before="133" w:after="0"/>
        <w:ind w:left="920" w:right="1355" w:hanging="360"/>
        <w:jc w:val="left"/>
        <w:rPr>
          <w:sz w:val="22"/>
        </w:rPr>
      </w:pPr>
      <w:r>
        <w:rPr>
          <w:sz w:val="22"/>
        </w:rPr>
        <w:t>Continuation of therapeutic dose anticoagulation (only in the Prior Therapeutic Anticoagulation</w:t>
      </w:r>
      <w:r>
        <w:rPr>
          <w:spacing w:val="-2"/>
          <w:sz w:val="22"/>
        </w:rPr>
        <w:t> </w:t>
      </w:r>
      <w:r>
        <w:rPr>
          <w:sz w:val="22"/>
        </w:rPr>
        <w:t>Stratum)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/>
        <w:ind w:left="200" w:right="734"/>
      </w:pPr>
      <w:r>
        <w:rPr/>
        <w:t>At this participating site the following interventions have been selected within this domain for patients in the No Prior Therapeutic Anticoagulation stratum:</w:t>
      </w:r>
    </w:p>
    <w:p>
      <w:pPr>
        <w:pStyle w:val="ListParagraph"/>
        <w:numPr>
          <w:ilvl w:val="0"/>
          <w:numId w:val="2"/>
        </w:numPr>
        <w:tabs>
          <w:tab w:pos="800" w:val="left" w:leader="none"/>
        </w:tabs>
        <w:spacing w:line="240" w:lineRule="auto" w:before="43" w:after="0"/>
        <w:ind w:left="799" w:right="0" w:hanging="239"/>
        <w:jc w:val="left"/>
        <w:rPr>
          <w:sz w:val="22"/>
        </w:rPr>
      </w:pPr>
      <w:r>
        <w:rPr>
          <w:sz w:val="22"/>
        </w:rPr>
        <w:t>Conventional low dose</w:t>
      </w:r>
      <w:r>
        <w:rPr>
          <w:spacing w:val="-2"/>
          <w:sz w:val="22"/>
        </w:rPr>
        <w:t> </w:t>
      </w:r>
      <w:r>
        <w:rPr>
          <w:sz w:val="22"/>
        </w:rPr>
        <w:t>thromboprophylaxis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00" w:val="left" w:leader="none"/>
        </w:tabs>
        <w:spacing w:line="240" w:lineRule="auto" w:before="0" w:after="0"/>
        <w:ind w:left="799" w:right="0" w:hanging="239"/>
        <w:jc w:val="left"/>
        <w:rPr>
          <w:sz w:val="22"/>
        </w:rPr>
      </w:pPr>
      <w:r>
        <w:rPr>
          <w:sz w:val="22"/>
        </w:rPr>
        <w:t>Intermediate dose</w:t>
      </w:r>
      <w:r>
        <w:rPr>
          <w:spacing w:val="-2"/>
          <w:sz w:val="22"/>
        </w:rPr>
        <w:t> </w:t>
      </w:r>
      <w:r>
        <w:rPr>
          <w:sz w:val="22"/>
        </w:rPr>
        <w:t>thromboprophylaxis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49"/>
        <w:ind w:left="150" w:right="784"/>
      </w:pPr>
      <w:r>
        <w:rPr/>
        <w:t>At this participating site the following interventions have been selected within this domain for patients in the Prior Therapeutic Anticoagulation stratum: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816" w:right="0" w:hanging="239"/>
        <w:jc w:val="left"/>
        <w:rPr>
          <w:sz w:val="22"/>
        </w:rPr>
      </w:pPr>
      <w:r>
        <w:rPr>
          <w:sz w:val="22"/>
        </w:rPr>
        <w:t>Conventional low dose</w:t>
      </w:r>
      <w:r>
        <w:rPr>
          <w:spacing w:val="-2"/>
          <w:sz w:val="22"/>
        </w:rPr>
        <w:t> </w:t>
      </w:r>
      <w:r>
        <w:rPr>
          <w:sz w:val="22"/>
        </w:rPr>
        <w:t>thromboprophylaxis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816" w:right="0" w:hanging="239"/>
        <w:jc w:val="left"/>
        <w:rPr>
          <w:sz w:val="22"/>
        </w:rPr>
      </w:pPr>
      <w:r>
        <w:rPr>
          <w:sz w:val="22"/>
        </w:rPr>
        <w:t>Intermediate dose</w:t>
      </w:r>
      <w:r>
        <w:rPr>
          <w:spacing w:val="-2"/>
          <w:sz w:val="22"/>
        </w:rPr>
        <w:t> </w:t>
      </w:r>
      <w:r>
        <w:rPr>
          <w:sz w:val="22"/>
        </w:rPr>
        <w:t>thromboprophylaxis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816" w:right="0" w:hanging="239"/>
        <w:jc w:val="left"/>
        <w:rPr>
          <w:sz w:val="22"/>
        </w:rPr>
      </w:pPr>
      <w:r>
        <w:rPr>
          <w:sz w:val="22"/>
        </w:rPr>
        <w:t>Continuation of therapeutic dose</w:t>
      </w:r>
      <w:r>
        <w:rPr>
          <w:spacing w:val="-4"/>
          <w:sz w:val="22"/>
        </w:rPr>
        <w:t> </w:t>
      </w:r>
      <w:r>
        <w:rPr>
          <w:sz w:val="22"/>
        </w:rPr>
        <w:t>anticoagulation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93" w:lineRule="auto"/>
        <w:ind w:left="153" w:right="1240"/>
      </w:pPr>
      <w:r>
        <w:rPr/>
        <w:pict>
          <v:shape style="position:absolute;margin-left:361.305115pt;margin-top:-.526372pt;width:44.55pt;height:14.5pt;mso-position-horizontal-relative:page;mso-position-vertical-relative:paragraph;z-index:-7984" coordorigin="7226,-11" coordsize="891,290" path="m8065,-11l7277,-11,7239,54,7226,134,7239,214,7277,279,8065,279,8103,214,8116,134,8103,54,8065,-11xe" filled="true" fillcolor="#fde164" stroked="false">
            <v:path arrowok="t"/>
            <v:fill opacity="26214f" type="solid"/>
            <w10:wrap type="none"/>
          </v:shape>
        </w:pict>
      </w:r>
      <w:r>
        <w:rPr/>
        <w:t>Is the site participating in the COVID-19 Anticoagulation Domain? YES / NO (If yes, please also indicate participation in the different states in the table below)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shape style="width:53.2pt;height:14.5pt;mso-position-horizontal-relative:char;mso-position-vertical-relative:line" type="#_x0000_t202" filled="true" fillcolor="#fde164" stroked="false">
            <w10:anchorlock/>
            <v:textbox inset="0,0,0,0">
              <w:txbxContent>
                <w:p>
                  <w:pPr>
                    <w:pStyle w:val="BodyText"/>
                    <w:spacing w:before="10"/>
                    <w:ind w:left="51"/>
                  </w:pPr>
                  <w:r>
                    <w:rPr/>
                    <w:t>Name site:</w:t>
                  </w:r>
                </w:p>
              </w:txbxContent>
            </v:textbox>
            <v:fill opacity="26214f" typ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7"/>
        </w:rPr>
      </w:pPr>
      <w:r>
        <w:rPr/>
        <w:pict>
          <v:shape style="position:absolute;margin-left:67.124123pt;margin-top:5.717121pt;width:45.65pt;height:14.5pt;mso-position-horizontal-relative:page;mso-position-vertical-relative:paragraph;z-index:-1000;mso-wrap-distance-left:0;mso-wrap-distance-right:0" type="#_x0000_t202" filled="true" fillcolor="#fde164" stroked="false">
            <v:textbox inset="0,0,0,0">
              <w:txbxContent>
                <w:p>
                  <w:pPr>
                    <w:pStyle w:val="BodyText"/>
                    <w:spacing w:before="10"/>
                    <w:ind w:left="51"/>
                  </w:pPr>
                  <w:r>
                    <w:rPr/>
                    <w:t>Name PI:</w:t>
                  </w:r>
                </w:p>
              </w:txbxContent>
            </v:textbox>
            <v:fill opacity="26214f" type="solid"/>
            <w10:wrap type="topAndBottom"/>
          </v:shape>
        </w:pict>
      </w:r>
      <w:r>
        <w:rPr/>
        <w:pict>
          <v:shape style="position:absolute;margin-left:67.124123pt;margin-top:27.717121pt;width:29.3pt;height:14.5pt;mso-position-horizontal-relative:page;mso-position-vertical-relative:paragraph;z-index:-976;mso-wrap-distance-left:0;mso-wrap-distance-right:0" type="#_x0000_t202" filled="true" fillcolor="#fde164" stroked="false">
            <v:textbox inset="0,0,0,0">
              <w:txbxContent>
                <w:p>
                  <w:pPr>
                    <w:pStyle w:val="BodyText"/>
                    <w:spacing w:before="10"/>
                    <w:ind w:left="51"/>
                  </w:pPr>
                  <w:r>
                    <w:rPr/>
                    <w:t>Date: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67.124123pt;margin-top:12.173268pt;width:50.65pt;height:14.5pt;mso-position-horizontal-relative:page;mso-position-vertical-relative:paragraph;z-index:-952;mso-wrap-distance-left:0;mso-wrap-distance-right:0" type="#_x0000_t202" filled="true" fillcolor="#fde164" stroked="false">
            <v:textbox inset="0,0,0,0">
              <w:txbxContent>
                <w:p>
                  <w:pPr>
                    <w:pStyle w:val="BodyText"/>
                    <w:spacing w:before="10"/>
                    <w:ind w:left="51"/>
                  </w:pPr>
                  <w:r>
                    <w:rPr/>
                    <w:t>Signature: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584" w:footer="786" w:top="1640" w:bottom="980" w:left="1240" w:right="1320"/>
          <w:pgNumType w:start="1"/>
        </w:sectPr>
      </w:pPr>
    </w:p>
    <w:p>
      <w:pPr>
        <w:pStyle w:val="BodyText"/>
        <w:spacing w:before="45"/>
        <w:ind w:left="200"/>
      </w:pPr>
      <w:r>
        <w:rPr/>
        <w:pict>
          <v:shape style="position:absolute;margin-left:382.148712pt;margin-top:473.724976pt;width:17.850pt;height:10.050pt;mso-position-horizontal-relative:page;mso-position-vertical-relative:page;z-index:-7960" coordorigin="7643,9474" coordsize="357,201" path="m7964,9474l7678,9474,7652,9519,7643,9575,7652,9630,7678,9675,7964,9675,7991,9630,8000,9575,7991,9519,7964,9474xe" filled="true" fillcolor="#fde164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294.968719pt;margin-top:473.724976pt;width:17.850pt;height:10.050pt;mso-position-horizontal-relative:page;mso-position-vertical-relative:page;z-index:-7936" coordorigin="5899,9474" coordsize="357,201" path="m6221,9474l5935,9474,5908,9519,5899,9575,5908,9630,5935,9675,6221,9675,6247,9630,6256,9575,6247,9519,6221,9474xe" filled="true" fillcolor="#fde164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77.488007pt;margin-top:510.564972pt;width:68.3pt;height:34.450pt;mso-position-horizontal-relative:page;mso-position-vertical-relative:page;z-index:-7912" coordorigin="1550,10211" coordsize="1366,689" path="m2053,10800l2044,10744,2018,10700,1727,10700,1701,10744,1692,10800,1701,10856,1727,10900,2018,10900,2044,10856,2053,10800m2710,10312l2702,10256,2675,10211,1585,10211,1559,10256,1550,10312,1559,10367,1585,10412,2675,10412,2702,10367,2710,10312m2915,10556l2906,10501,2880,10456,1727,10456,1701,10501,1692,10556,1701,10612,1727,10656,2880,10656,2906,10612,2915,10556e" filled="true" fillcolor="#fde164" stroked="false">
            <v:path arrowok="t"/>
            <v:fill opacity="26214f" type="solid"/>
            <w10:wrap type="none"/>
          </v:shape>
        </w:pict>
      </w:r>
      <w:r>
        <w:rPr/>
        <w:t>This DSA applies to the following states and stratum: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988"/>
        <w:gridCol w:w="990"/>
        <w:gridCol w:w="1695"/>
        <w:gridCol w:w="1791"/>
        <w:gridCol w:w="1744"/>
      </w:tblGrid>
      <w:tr>
        <w:trPr>
          <w:trHeight w:val="976" w:hRule="atLeast"/>
        </w:trPr>
        <w:tc>
          <w:tcPr>
            <w:tcW w:w="1806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140"/>
              <w:rPr>
                <w:sz w:val="20"/>
              </w:rPr>
            </w:pPr>
            <w:r>
              <w:rPr>
                <w:sz w:val="20"/>
              </w:rPr>
              <w:t>Stratum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772"/>
              <w:rPr>
                <w:sz w:val="20"/>
              </w:rPr>
            </w:pPr>
            <w:r>
              <w:rPr>
                <w:sz w:val="20"/>
              </w:rPr>
              <w:t>Pandemic infection suspected or proven (PISOP)</w:t>
            </w:r>
          </w:p>
        </w:tc>
        <w:tc>
          <w:tcPr>
            <w:tcW w:w="1744" w:type="dxa"/>
          </w:tcPr>
          <w:p>
            <w:pPr>
              <w:pStyle w:val="TableParagraph"/>
              <w:ind w:left="196" w:right="178" w:hanging="1"/>
              <w:jc w:val="center"/>
              <w:rPr>
                <w:sz w:val="20"/>
              </w:rPr>
            </w:pPr>
            <w:r>
              <w:rPr>
                <w:sz w:val="20"/>
              </w:rPr>
              <w:t>Pandemic infection neither suspected nor</w:t>
            </w:r>
          </w:p>
          <w:p>
            <w:pPr>
              <w:pStyle w:val="TableParagraph"/>
              <w:spacing w:line="224" w:lineRule="exact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proven (PINSNP)</w:t>
            </w:r>
          </w:p>
        </w:tc>
      </w:tr>
      <w:tr>
        <w:trPr>
          <w:trHeight w:val="850" w:hRule="atLeast"/>
        </w:trPr>
        <w:tc>
          <w:tcPr>
            <w:tcW w:w="1806" w:type="dxa"/>
            <w:shd w:val="clear" w:color="auto" w:fill="D9D9D9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2" w:right="520" w:hanging="142"/>
              <w:rPr>
                <w:sz w:val="20"/>
              </w:rPr>
            </w:pPr>
            <w:r>
              <w:rPr>
                <w:sz w:val="20"/>
              </w:rPr>
              <w:t>Core protocol documents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758"/>
              <w:rPr>
                <w:sz w:val="20"/>
              </w:rPr>
            </w:pPr>
            <w:r>
              <w:rPr>
                <w:sz w:val="20"/>
              </w:rPr>
              <w:t>REMAP-CAP Core Protocol + Pandemic Appendix</w:t>
            </w:r>
          </w:p>
        </w:tc>
        <w:tc>
          <w:tcPr>
            <w:tcW w:w="1744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REMAP-CAP Core</w:t>
            </w:r>
          </w:p>
          <w:p>
            <w:pPr>
              <w:pStyle w:val="TableParagraph"/>
              <w:spacing w:before="1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Protocol</w:t>
            </w:r>
          </w:p>
        </w:tc>
      </w:tr>
      <w:tr>
        <w:trPr>
          <w:trHeight w:val="850" w:hRule="atLeast"/>
        </w:trPr>
        <w:tc>
          <w:tcPr>
            <w:tcW w:w="1806" w:type="dxa"/>
            <w:shd w:val="clear" w:color="auto" w:fill="D9D9D9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2" w:right="433" w:hanging="142"/>
              <w:rPr>
                <w:sz w:val="20"/>
              </w:rPr>
            </w:pPr>
            <w:r>
              <w:rPr>
                <w:sz w:val="20"/>
              </w:rPr>
              <w:t>Illness Severity State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Moderate State</w:t>
            </w:r>
          </w:p>
        </w:tc>
        <w:tc>
          <w:tcPr>
            <w:tcW w:w="3486" w:type="dxa"/>
            <w:gridSpan w:val="2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216" w:right="1203"/>
              <w:jc w:val="center"/>
              <w:rPr>
                <w:sz w:val="20"/>
              </w:rPr>
            </w:pPr>
            <w:r>
              <w:rPr>
                <w:sz w:val="20"/>
              </w:rPr>
              <w:t>Severe State</w:t>
            </w:r>
          </w:p>
        </w:tc>
        <w:tc>
          <w:tcPr>
            <w:tcW w:w="17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Severe State</w:t>
            </w:r>
          </w:p>
        </w:tc>
      </w:tr>
      <w:tr>
        <w:trPr>
          <w:trHeight w:val="849" w:hRule="atLeast"/>
        </w:trPr>
        <w:tc>
          <w:tcPr>
            <w:tcW w:w="1806" w:type="dxa"/>
            <w:shd w:val="clear" w:color="auto" w:fill="D9D9D9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2" w:right="334" w:hanging="142"/>
              <w:rPr>
                <w:sz w:val="20"/>
              </w:rPr>
            </w:pPr>
            <w:r>
              <w:rPr>
                <w:sz w:val="20"/>
              </w:rPr>
              <w:t>Domain-specific Stratum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808" w:right="797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5" w:type="dxa"/>
          </w:tcPr>
          <w:p>
            <w:pPr>
              <w:pStyle w:val="TableParagraph"/>
              <w:spacing w:before="57"/>
              <w:ind w:left="206" w:right="193" w:firstLine="1"/>
              <w:jc w:val="center"/>
              <w:rPr>
                <w:sz w:val="20"/>
              </w:rPr>
            </w:pPr>
            <w:r>
              <w:rPr>
                <w:sz w:val="20"/>
              </w:rPr>
              <w:t>No Prior Therapeutic Anticoagulation</w:t>
            </w:r>
          </w:p>
        </w:tc>
        <w:tc>
          <w:tcPr>
            <w:tcW w:w="1791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55" w:right="156" w:hanging="65"/>
              <w:rPr>
                <w:sz w:val="20"/>
              </w:rPr>
            </w:pPr>
            <w:r>
              <w:rPr>
                <w:sz w:val="20"/>
              </w:rPr>
              <w:t>Prior Therapeutic Anticoagulation</w:t>
            </w:r>
          </w:p>
        </w:tc>
        <w:tc>
          <w:tcPr>
            <w:tcW w:w="174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1464" w:hRule="atLeast"/>
        </w:trPr>
        <w:tc>
          <w:tcPr>
            <w:tcW w:w="1806" w:type="dxa"/>
            <w:shd w:val="clear" w:color="auto" w:fill="D9D9D9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282" w:right="231" w:hanging="142"/>
              <w:rPr>
                <w:sz w:val="20"/>
              </w:rPr>
            </w:pPr>
            <w:r>
              <w:rPr>
                <w:sz w:val="20"/>
              </w:rPr>
              <w:t>Interventions specified in this DSA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Not available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Conventional low dose   Intermediate dose</w:t>
            </w:r>
          </w:p>
        </w:tc>
        <w:tc>
          <w:tcPr>
            <w:tcW w:w="1791" w:type="dxa"/>
          </w:tcPr>
          <w:p>
            <w:pPr>
              <w:pStyle w:val="TableParagraph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Conventional low dose    Intermediate </w:t>
            </w:r>
            <w:r>
              <w:rPr>
                <w:spacing w:val="-5"/>
                <w:sz w:val="20"/>
              </w:rPr>
              <w:t>dose </w:t>
            </w:r>
            <w:r>
              <w:rPr>
                <w:sz w:val="20"/>
              </w:rPr>
              <w:t>Continuation of therapeutic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dose</w:t>
            </w:r>
          </w:p>
          <w:p>
            <w:pPr>
              <w:pStyle w:val="TableParagraph"/>
              <w:spacing w:line="224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anticoagulation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Not available</w:t>
            </w:r>
          </w:p>
        </w:tc>
      </w:tr>
      <w:tr>
        <w:trPr>
          <w:trHeight w:val="1953" w:hRule="atLeast"/>
        </w:trPr>
        <w:tc>
          <w:tcPr>
            <w:tcW w:w="1806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82" w:right="243" w:hanging="142"/>
              <w:rPr>
                <w:sz w:val="20"/>
              </w:rPr>
            </w:pPr>
            <w:r>
              <w:rPr>
                <w:sz w:val="20"/>
              </w:rPr>
              <w:t>Interventions submitted for approval in this jurisdiction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456"/>
              <w:rPr>
                <w:sz w:val="20"/>
              </w:rPr>
            </w:pPr>
            <w:r>
              <w:rPr>
                <w:sz w:val="20"/>
              </w:rPr>
              <w:t>Not available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2" w:val="left" w:leader="none"/>
              </w:tabs>
              <w:spacing w:line="240" w:lineRule="auto" w:before="0" w:after="0"/>
              <w:ind w:left="421" w:right="183" w:hanging="28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Conventional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2" w:val="left" w:leader="none"/>
              </w:tabs>
              <w:spacing w:line="240" w:lineRule="auto" w:before="1" w:after="0"/>
              <w:ind w:left="421" w:right="195" w:hanging="283"/>
              <w:jc w:val="left"/>
              <w:rPr>
                <w:sz w:val="20"/>
              </w:rPr>
            </w:pPr>
            <w:r>
              <w:rPr>
                <w:sz w:val="20"/>
              </w:rPr>
              <w:t>Intermediate dose</w:t>
            </w:r>
          </w:p>
        </w:tc>
        <w:tc>
          <w:tcPr>
            <w:tcW w:w="179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2" w:val="left" w:leader="none"/>
              </w:tabs>
              <w:spacing w:line="240" w:lineRule="auto" w:before="0" w:after="0"/>
              <w:ind w:left="422" w:right="279" w:hanging="28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Conventional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2" w:val="left" w:leader="none"/>
              </w:tabs>
              <w:spacing w:line="240" w:lineRule="auto" w:before="0" w:after="0"/>
              <w:ind w:left="422" w:right="290" w:hanging="284"/>
              <w:jc w:val="left"/>
              <w:rPr>
                <w:sz w:val="20"/>
              </w:rPr>
            </w:pPr>
            <w:r>
              <w:rPr>
                <w:sz w:val="20"/>
              </w:rPr>
              <w:t>Intermediate dose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2" w:val="left" w:leader="none"/>
              </w:tabs>
              <w:spacing w:line="240" w:lineRule="auto" w:before="1" w:after="0"/>
              <w:ind w:left="422" w:right="93" w:hanging="284"/>
              <w:jc w:val="left"/>
              <w:rPr>
                <w:sz w:val="20"/>
              </w:rPr>
            </w:pPr>
            <w:r>
              <w:rPr>
                <w:sz w:val="20"/>
              </w:rPr>
              <w:t>Continuation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of therapeutic dose</w:t>
            </w:r>
          </w:p>
          <w:p>
            <w:pPr>
              <w:pStyle w:val="TableParagraph"/>
              <w:spacing w:line="224" w:lineRule="exact"/>
              <w:ind w:left="421"/>
              <w:rPr>
                <w:sz w:val="20"/>
              </w:rPr>
            </w:pPr>
            <w:r>
              <w:rPr>
                <w:sz w:val="20"/>
              </w:rPr>
              <w:t>anticoagulation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Not available</w:t>
            </w:r>
          </w:p>
        </w:tc>
      </w:tr>
      <w:tr>
        <w:trPr>
          <w:trHeight w:val="396" w:hRule="atLeast"/>
        </w:trPr>
        <w:tc>
          <w:tcPr>
            <w:tcW w:w="1806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282" w:right="343" w:hanging="142"/>
              <w:rPr>
                <w:sz w:val="20"/>
              </w:rPr>
            </w:pPr>
            <w:r>
              <w:rPr>
                <w:sz w:val="20"/>
              </w:rPr>
              <w:t>Interventions offered at this site</w:t>
            </w:r>
          </w:p>
        </w:tc>
        <w:tc>
          <w:tcPr>
            <w:tcW w:w="988" w:type="dxa"/>
          </w:tcPr>
          <w:p>
            <w:pPr>
              <w:pStyle w:val="TableParagraph"/>
              <w:spacing w:before="75"/>
              <w:ind w:left="270"/>
              <w:rPr>
                <w:sz w:val="20"/>
              </w:rPr>
            </w:pPr>
            <w:r>
              <w:rPr>
                <w:sz w:val="20"/>
              </w:rPr>
              <w:t>Ward</w:t>
            </w:r>
          </w:p>
        </w:tc>
        <w:tc>
          <w:tcPr>
            <w:tcW w:w="990" w:type="dxa"/>
          </w:tcPr>
          <w:p>
            <w:pPr>
              <w:pStyle w:val="TableParagraph"/>
              <w:spacing w:before="75"/>
              <w:ind w:left="332" w:right="322"/>
              <w:jc w:val="center"/>
              <w:rPr>
                <w:sz w:val="20"/>
              </w:rPr>
            </w:pPr>
            <w:r>
              <w:rPr>
                <w:sz w:val="20"/>
              </w:rPr>
              <w:t>ICU</w:t>
            </w:r>
          </w:p>
        </w:tc>
        <w:tc>
          <w:tcPr>
            <w:tcW w:w="1695" w:type="dxa"/>
          </w:tcPr>
          <w:p>
            <w:pPr>
              <w:pStyle w:val="TableParagraph"/>
              <w:spacing w:before="75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ICU</w:t>
            </w:r>
          </w:p>
        </w:tc>
        <w:tc>
          <w:tcPr>
            <w:tcW w:w="1791" w:type="dxa"/>
          </w:tcPr>
          <w:p>
            <w:pPr>
              <w:pStyle w:val="TableParagraph"/>
              <w:spacing w:before="75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ICU</w:t>
            </w:r>
          </w:p>
        </w:tc>
        <w:tc>
          <w:tcPr>
            <w:tcW w:w="1744" w:type="dxa"/>
          </w:tcPr>
          <w:p>
            <w:pPr>
              <w:pStyle w:val="TableParagraph"/>
              <w:spacing w:before="75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ICU</w:t>
            </w:r>
          </w:p>
        </w:tc>
      </w:tr>
      <w:tr>
        <w:trPr>
          <w:trHeight w:val="1953" w:hRule="atLeast"/>
        </w:trPr>
        <w:tc>
          <w:tcPr>
            <w:tcW w:w="180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34" w:right="103" w:firstLine="208"/>
              <w:rPr>
                <w:sz w:val="20"/>
              </w:rPr>
            </w:pPr>
            <w:r>
              <w:rPr>
                <w:sz w:val="20"/>
              </w:rPr>
              <w:t>Not available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35" w:right="104" w:firstLine="208"/>
              <w:rPr>
                <w:sz w:val="20"/>
              </w:rPr>
            </w:pPr>
            <w:r>
              <w:rPr>
                <w:sz w:val="20"/>
              </w:rPr>
              <w:t>Not available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2" w:val="left" w:leader="none"/>
              </w:tabs>
              <w:spacing w:line="240" w:lineRule="auto" w:before="0" w:after="0"/>
              <w:ind w:left="421" w:right="183" w:hanging="28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Conventional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2" w:val="left" w:leader="none"/>
              </w:tabs>
              <w:spacing w:line="240" w:lineRule="auto" w:before="0" w:after="0"/>
              <w:ind w:left="421" w:right="195" w:hanging="283"/>
              <w:jc w:val="left"/>
              <w:rPr>
                <w:sz w:val="20"/>
              </w:rPr>
            </w:pPr>
            <w:r>
              <w:rPr>
                <w:sz w:val="20"/>
              </w:rPr>
              <w:t>Intermediate dose</w:t>
            </w:r>
          </w:p>
        </w:tc>
        <w:tc>
          <w:tcPr>
            <w:tcW w:w="179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2" w:val="left" w:leader="none"/>
              </w:tabs>
              <w:spacing w:line="240" w:lineRule="auto" w:before="0" w:after="0"/>
              <w:ind w:left="422" w:right="279" w:hanging="28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Conventional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2" w:val="left" w:leader="none"/>
              </w:tabs>
              <w:spacing w:line="240" w:lineRule="auto" w:before="0" w:after="0"/>
              <w:ind w:left="422" w:right="290" w:hanging="284"/>
              <w:jc w:val="left"/>
              <w:rPr>
                <w:sz w:val="20"/>
              </w:rPr>
            </w:pPr>
            <w:r>
              <w:rPr>
                <w:sz w:val="20"/>
              </w:rPr>
              <w:t>Intermediate dose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2" w:val="left" w:leader="none"/>
              </w:tabs>
              <w:spacing w:line="240" w:lineRule="auto" w:before="0" w:after="0"/>
              <w:ind w:left="422" w:right="93" w:hanging="284"/>
              <w:jc w:val="left"/>
              <w:rPr>
                <w:sz w:val="20"/>
              </w:rPr>
            </w:pPr>
            <w:r>
              <w:rPr>
                <w:sz w:val="20"/>
              </w:rPr>
              <w:t>Continuation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of therapeutic dose</w:t>
            </w:r>
          </w:p>
          <w:p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z w:val="20"/>
              </w:rPr>
              <w:t>anticoagulation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Not available</w:t>
            </w:r>
          </w:p>
        </w:tc>
      </w:tr>
    </w:tbl>
    <w:sectPr>
      <w:pgSz w:w="11910" w:h="16840"/>
      <w:pgMar w:header="584" w:footer="786" w:top="1640" w:bottom="98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91.630005pt;width:56.35pt;height:11pt;mso-position-horizontal-relative:page;mso-position-vertical-relative:page;z-index:-805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77.440002pt;margin-top:791.630005pt;width:42.45pt;height:11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of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459999pt;margin-top:28.459984pt;width:379.45pt;height:11.75pt;mso-position-horizontal-relative:page;mso-position-vertical-relative:page;z-index:-8080" type="#_x0000_t202" filled="false" stroked="false">
          <v:textbox inset="0,0,0,0">
            <w:txbxContent>
              <w:p>
                <w:pPr>
                  <w:spacing w:line="21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REMAP-CAP COVID-19 Anticoagulation Domain-Specific Appendix Version 3.0 dated 27</w:t>
                </w:r>
                <w:r>
                  <w:rPr>
                    <w:position w:val="6"/>
                    <w:sz w:val="12"/>
                  </w:rPr>
                  <w:t>th </w:t>
                </w:r>
                <w:r>
                  <w:rPr>
                    <w:sz w:val="18"/>
                  </w:rPr>
                  <w:t>February 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"/>
      <w:lvlJc w:val="left"/>
      <w:pPr>
        <w:ind w:left="422" w:hanging="284"/>
      </w:pPr>
      <w:rPr>
        <w:rFonts w:hint="default" w:ascii="Wingdings" w:hAnsi="Wingdings" w:eastAsia="Wingdings" w:cs="Wingdings"/>
        <w:w w:val="100"/>
        <w:sz w:val="20"/>
        <w:szCs w:val="20"/>
        <w:lang w:val="en-au" w:eastAsia="en-au" w:bidi="en-au"/>
      </w:rPr>
    </w:lvl>
    <w:lvl w:ilvl="1">
      <w:start w:val="0"/>
      <w:numFmt w:val="bullet"/>
      <w:lvlText w:val="•"/>
      <w:lvlJc w:val="left"/>
      <w:pPr>
        <w:ind w:left="556" w:hanging="284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692" w:hanging="284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828" w:hanging="284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964" w:hanging="284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1100" w:hanging="284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1236" w:hanging="284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1372" w:hanging="284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1508" w:hanging="284"/>
      </w:pPr>
      <w:rPr>
        <w:rFonts w:hint="default"/>
        <w:lang w:val="en-au" w:eastAsia="en-au" w:bidi="en-au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421" w:hanging="284"/>
      </w:pPr>
      <w:rPr>
        <w:rFonts w:hint="default" w:ascii="Wingdings" w:hAnsi="Wingdings" w:eastAsia="Wingdings" w:cs="Wingdings"/>
        <w:w w:val="100"/>
        <w:sz w:val="20"/>
        <w:szCs w:val="20"/>
        <w:lang w:val="en-au" w:eastAsia="en-au" w:bidi="en-au"/>
      </w:rPr>
    </w:lvl>
    <w:lvl w:ilvl="1">
      <w:start w:val="0"/>
      <w:numFmt w:val="bullet"/>
      <w:lvlText w:val="•"/>
      <w:lvlJc w:val="left"/>
      <w:pPr>
        <w:ind w:left="546" w:hanging="284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673" w:hanging="284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799" w:hanging="284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926" w:hanging="284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1052" w:hanging="284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1179" w:hanging="284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1305" w:hanging="284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1432" w:hanging="284"/>
      </w:pPr>
      <w:rPr>
        <w:rFonts w:hint="default"/>
        <w:lang w:val="en-au" w:eastAsia="en-au" w:bidi="en-au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422" w:hanging="284"/>
      </w:pPr>
      <w:rPr>
        <w:rFonts w:hint="default" w:ascii="Wingdings" w:hAnsi="Wingdings" w:eastAsia="Wingdings" w:cs="Wingdings"/>
        <w:w w:val="100"/>
        <w:sz w:val="20"/>
        <w:szCs w:val="20"/>
        <w:lang w:val="en-au" w:eastAsia="en-au" w:bidi="en-au"/>
      </w:rPr>
    </w:lvl>
    <w:lvl w:ilvl="1">
      <w:start w:val="0"/>
      <w:numFmt w:val="bullet"/>
      <w:lvlText w:val="•"/>
      <w:lvlJc w:val="left"/>
      <w:pPr>
        <w:ind w:left="556" w:hanging="284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692" w:hanging="284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828" w:hanging="284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964" w:hanging="284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1100" w:hanging="284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1236" w:hanging="284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1372" w:hanging="284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1508" w:hanging="284"/>
      </w:pPr>
      <w:rPr>
        <w:rFonts w:hint="default"/>
        <w:lang w:val="en-au" w:eastAsia="en-au" w:bidi="en-au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421" w:hanging="284"/>
      </w:pPr>
      <w:rPr>
        <w:rFonts w:hint="default" w:ascii="Wingdings" w:hAnsi="Wingdings" w:eastAsia="Wingdings" w:cs="Wingdings"/>
        <w:w w:val="100"/>
        <w:sz w:val="20"/>
        <w:szCs w:val="20"/>
        <w:lang w:val="en-au" w:eastAsia="en-au" w:bidi="en-au"/>
      </w:rPr>
    </w:lvl>
    <w:lvl w:ilvl="1">
      <w:start w:val="0"/>
      <w:numFmt w:val="bullet"/>
      <w:lvlText w:val="•"/>
      <w:lvlJc w:val="left"/>
      <w:pPr>
        <w:ind w:left="546" w:hanging="284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673" w:hanging="284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799" w:hanging="284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926" w:hanging="284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1052" w:hanging="284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1179" w:hanging="284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1305" w:hanging="284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1432" w:hanging="284"/>
      </w:pPr>
      <w:rPr>
        <w:rFonts w:hint="default"/>
        <w:lang w:val="en-au" w:eastAsia="en-au" w:bidi="en-au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799" w:hanging="239"/>
      </w:pPr>
      <w:rPr>
        <w:rFonts w:hint="default" w:ascii="Segoe UI Symbol" w:hAnsi="Segoe UI Symbol" w:eastAsia="Segoe UI Symbol" w:cs="Segoe UI Symbol"/>
        <w:w w:val="99"/>
        <w:sz w:val="22"/>
        <w:szCs w:val="22"/>
        <w:lang w:val="en-au" w:eastAsia="en-au" w:bidi="en-au"/>
      </w:rPr>
    </w:lvl>
    <w:lvl w:ilvl="1">
      <w:start w:val="0"/>
      <w:numFmt w:val="bullet"/>
      <w:lvlText w:val="•"/>
      <w:lvlJc w:val="left"/>
      <w:pPr>
        <w:ind w:left="1654" w:hanging="239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509" w:hanging="239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363" w:hanging="239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218" w:hanging="239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5073" w:hanging="239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927" w:hanging="239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782" w:hanging="239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7637" w:hanging="239"/>
      </w:pPr>
      <w:rPr>
        <w:rFonts w:hint="default"/>
        <w:lang w:val="en-au" w:eastAsia="en-au" w:bidi="en-au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99"/>
        <w:sz w:val="22"/>
        <w:szCs w:val="22"/>
        <w:lang w:val="en-au" w:eastAsia="en-au" w:bidi="en-au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447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290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975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818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en-au" w:eastAsia="en-au" w:bidi="en-au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ind w:left="816" w:hanging="239"/>
    </w:pPr>
    <w:rPr>
      <w:rFonts w:ascii="Calibri" w:hAnsi="Calibri" w:eastAsia="Calibri" w:cs="Calibri"/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7" ma:contentTypeDescription="Create a new document." ma:contentTypeScope="" ma:versionID="eaf1a757f91185de568ce69d1c5c5b27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eec241e3132e9082cc085c6c47e264aa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52A8FD21-9587-46DC-BA5A-D4DB926D46F0}"/>
</file>

<file path=customXml/itemProps2.xml><?xml version="1.0" encoding="utf-8"?>
<ds:datastoreItem xmlns:ds="http://schemas.openxmlformats.org/officeDocument/2006/customXml" ds:itemID="{4D20F81C-1DF5-49CD-B375-30A315FF4C36}"/>
</file>

<file path=customXml/itemProps3.xml><?xml version="1.0" encoding="utf-8"?>
<ds:datastoreItem xmlns:ds="http://schemas.openxmlformats.org/officeDocument/2006/customXml" ds:itemID="{C8C49AE3-5940-4E04-A8BD-29124A8F5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O'Neill</dc:creator>
  <dcterms:created xsi:type="dcterms:W3CDTF">2021-03-18T16:18:18Z</dcterms:created>
  <dcterms:modified xsi:type="dcterms:W3CDTF">2021-03-18T16:18:18Z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2021-03-18T00:00:00Z</vt:filetime>
  </property>
  <property fmtid="{D5CDD505-2E9C-101B-9397-08002B2CF9AE}" pid="5" name="ContentTypeId">
    <vt:lpwstr>0x010100C5D2CEA8A7BDDA4FBC2A214595BFB666</vt:lpwstr>
  </property>
</Properties>
</file>